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附表1</w:t>
      </w:r>
    </w:p>
    <w:p>
      <w:pPr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</w:t>
      </w:r>
      <w:r>
        <w:rPr>
          <w:rFonts w:hint="eastAsia" w:ascii="黑体" w:hAnsi="黑体" w:eastAsia="黑体" w:cs="黑体"/>
          <w:sz w:val="36"/>
          <w:szCs w:val="36"/>
        </w:rPr>
        <w:t>省（自治区、直辖市）国家重大工业专项节能监察任务申报表</w:t>
      </w:r>
    </w:p>
    <w:p>
      <w:pPr>
        <w:snapToGrid w:val="0"/>
        <w:spacing w:line="240" w:lineRule="auto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申报单位：     （盖章）</w:t>
      </w:r>
    </w:p>
    <w:tbl>
      <w:tblPr>
        <w:tblStyle w:val="4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2"/>
        <w:gridCol w:w="3285"/>
        <w:gridCol w:w="2822"/>
        <w:gridCol w:w="2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行业（产品）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监察任务（家）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8" w:firstLineChars="91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年违规企业整改落实情况专项监察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left="0" w:leftChars="0" w:right="0" w:rightChars="0" w:firstLine="218" w:firstLineChars="91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高耗能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行业能耗专项监察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乙烯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8" w:firstLineChars="91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合成氨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8" w:firstLineChars="91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电石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8" w:firstLineChars="91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烧碱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8" w:firstLineChars="91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尿素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8" w:firstLineChars="91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造纸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8" w:firstLineChars="91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独立焦化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5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left="0" w:leftChars="0" w:right="0" w:rightChars="0" w:firstLine="218" w:firstLineChars="91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阶梯电价执行专项监察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left="0" w:leftChars="0" w:right="0" w:rightChars="0" w:firstLine="218" w:firstLineChars="91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钢铁（2017年超标企业）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</w:trPr>
        <w:tc>
          <w:tcPr>
            <w:tcW w:w="5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left="0" w:leftChars="0" w:right="0" w:rightChars="0" w:firstLine="218" w:firstLineChars="91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水泥（2017年超标企业）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</w:trPr>
        <w:tc>
          <w:tcPr>
            <w:tcW w:w="5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left="0" w:leftChars="0" w:right="0" w:rightChars="0" w:firstLine="218" w:firstLineChars="91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水泥（日产2000吨以下企业）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</w:trPr>
        <w:tc>
          <w:tcPr>
            <w:tcW w:w="55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left="0" w:leftChars="0" w:right="0" w:rightChars="0" w:firstLine="218" w:firstLineChars="91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电解铝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（2017年超标企业）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8" w:firstLineChars="91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bidi="ar"/>
              </w:rPr>
              <w:t>重点用能产品设备能效提升专项监察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  <w:t>（生产企业）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电机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变压器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5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水泵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" w:hRule="atLeast"/>
        </w:trPr>
        <w:tc>
          <w:tcPr>
            <w:tcW w:w="5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风机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空压机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881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指定或委托组织实施的节能监察机构（1家）</w:t>
            </w:r>
          </w:p>
        </w:tc>
        <w:tc>
          <w:tcPr>
            <w:tcW w:w="517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（机构名称及开户单位、开户行及银行账户信息）</w:t>
            </w:r>
          </w:p>
        </w:tc>
      </w:tr>
    </w:tbl>
    <w:p>
      <w:pPr>
        <w:snapToGrid w:val="0"/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注：1.每省（自治区、直辖市）申报任务总量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>原则上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需在150家以上，1家企业只安排1项监察内容</w:t>
      </w:r>
    </w:p>
    <w:p>
      <w:pPr>
        <w:snapToGrid w:val="0"/>
        <w:spacing w:line="240" w:lineRule="auto"/>
        <w:ind w:left="0" w:leftChars="0" w:firstLine="480" w:firstLineChars="0"/>
        <w:jc w:val="left"/>
        <w:rPr>
          <w:rFonts w:hint="default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>2.为避免重复统计，钢铁、水泥、电解铝违规企业整改落实情况计入相应行业阶梯电价执行专项监察</w:t>
      </w:r>
    </w:p>
    <w:p>
      <w:pPr>
        <w:snapToGrid w:val="0"/>
        <w:spacing w:beforeLines="0" w:afterLines="0" w:line="240" w:lineRule="auto"/>
        <w:ind w:firstLine="480"/>
        <w:jc w:val="left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  <w:sectPr>
          <w:pgSz w:w="16838" w:h="11906" w:orient="landscape"/>
          <w:pgMar w:top="720" w:right="720" w:bottom="720" w:left="141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>3.重点高耗能行业能耗专项监察中生产多种产品的企业应按照1家企业申报，并在附表2注明产品种类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。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F38F8"/>
    <w:rsid w:val="152F38F8"/>
    <w:rsid w:val="1D5C2C43"/>
    <w:rsid w:val="555F0C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2018-03-06T02:31:00Z</dcterms:created>
  <dc:creator>李胡升</dc:creator>
  <cp:lastModifiedBy>李胡升</cp:lastModifiedBy>
  <dcterms:modified xsi:type="dcterms:W3CDTF">2018-03-06T02:32:56Z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